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3843AE">
        <w:rPr>
          <w:bCs/>
          <w:noProof w:val="0"/>
          <w:sz w:val="24"/>
          <w:lang w:val="en-GB"/>
        </w:rPr>
        <w:t>5</w:t>
      </w:r>
      <w:r w:rsidR="005072D4">
        <w:rPr>
          <w:rFonts w:eastAsia="맑은 고딕"/>
          <w:bCs/>
          <w:noProof w:val="0"/>
          <w:sz w:val="24"/>
          <w:lang w:val="en-GB" w:eastAsia="ko-KR"/>
        </w:rPr>
        <w:tab/>
        <w:t>R3-193496</w:t>
      </w:r>
    </w:p>
    <w:p w:rsidR="00AF1A57" w:rsidRPr="00076C1C" w:rsidRDefault="003843AE" w:rsidP="00AF1A57">
      <w:pPr>
        <w:pStyle w:val="a5"/>
        <w:tabs>
          <w:tab w:val="right" w:pos="9639"/>
        </w:tabs>
        <w:rPr>
          <w:bCs/>
          <w:noProof w:val="0"/>
          <w:sz w:val="24"/>
          <w:lang w:val="en-GB"/>
        </w:rPr>
      </w:pPr>
      <w:r>
        <w:rPr>
          <w:rFonts w:eastAsia="바탕" w:cs="Arial"/>
          <w:color w:val="000000"/>
          <w:sz w:val="24"/>
          <w:szCs w:val="24"/>
          <w:lang w:eastAsia="ja-JP"/>
        </w:rPr>
        <w:t>Ljubljana, Slovenia</w:t>
      </w:r>
      <w:r w:rsidRPr="00202DCA">
        <w:rPr>
          <w:rFonts w:eastAsia="바탕" w:cs="Arial"/>
          <w:color w:val="000000"/>
          <w:sz w:val="24"/>
          <w:szCs w:val="24"/>
          <w:lang w:eastAsia="ja-JP"/>
        </w:rPr>
        <w:t xml:space="preserve">, </w:t>
      </w:r>
      <w:r>
        <w:rPr>
          <w:rFonts w:eastAsia="바탕" w:cs="Arial"/>
          <w:color w:val="000000"/>
          <w:sz w:val="24"/>
          <w:szCs w:val="24"/>
          <w:lang w:eastAsia="ja-JP"/>
        </w:rPr>
        <w:t>Aug. 26</w:t>
      </w:r>
      <w:r w:rsidRPr="009E18FE">
        <w:rPr>
          <w:rFonts w:eastAsia="바탕" w:cs="Arial"/>
          <w:color w:val="000000"/>
          <w:sz w:val="24"/>
          <w:szCs w:val="24"/>
          <w:vertAlign w:val="superscript"/>
          <w:lang w:eastAsia="ja-JP"/>
        </w:rPr>
        <w:t>th</w:t>
      </w:r>
      <w:r w:rsidRPr="00202DCA">
        <w:rPr>
          <w:rFonts w:eastAsia="바탕" w:cs="Arial"/>
          <w:color w:val="000000"/>
          <w:sz w:val="24"/>
          <w:szCs w:val="24"/>
          <w:lang w:eastAsia="ja-JP"/>
        </w:rPr>
        <w:t xml:space="preserve"> – </w:t>
      </w:r>
      <w:r>
        <w:rPr>
          <w:rFonts w:eastAsia="바탕" w:cs="Arial"/>
          <w:color w:val="000000"/>
          <w:sz w:val="24"/>
          <w:szCs w:val="24"/>
          <w:lang w:eastAsia="ja-JP"/>
        </w:rPr>
        <w:t>30</w:t>
      </w:r>
      <w:r>
        <w:rPr>
          <w:rFonts w:eastAsia="바탕" w:cs="Arial"/>
          <w:color w:val="000000"/>
          <w:sz w:val="24"/>
          <w:szCs w:val="24"/>
          <w:vertAlign w:val="superscript"/>
          <w:lang w:eastAsia="ja-JP"/>
        </w:rPr>
        <w:t>th</w:t>
      </w:r>
      <w:r w:rsidRPr="00202DCA">
        <w:rPr>
          <w:rFonts w:eastAsia="바탕" w:cs="Arial"/>
          <w:color w:val="000000"/>
          <w:sz w:val="24"/>
          <w:szCs w:val="24"/>
          <w:lang w:eastAsia="ja-JP"/>
        </w:rPr>
        <w:t>, 201</w:t>
      </w:r>
      <w:r>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695FA3">
        <w:rPr>
          <w:rFonts w:cs="Arial"/>
          <w:b/>
          <w:bCs/>
          <w:sz w:val="24"/>
        </w:rPr>
        <w:t>3</w:t>
      </w:r>
      <w:r w:rsidR="000C2CB2">
        <w:rPr>
          <w:rFonts w:eastAsia="맑은 고딕" w:cs="Arial"/>
          <w:b/>
          <w:bCs/>
          <w:sz w:val="24"/>
          <w:lang w:eastAsia="ko-KR"/>
        </w:rPr>
        <w:t>.</w:t>
      </w:r>
      <w:r w:rsidR="00666B80">
        <w:rPr>
          <w:rFonts w:eastAsia="맑은 고딕" w:cs="Arial"/>
          <w:b/>
          <w:bCs/>
          <w:sz w:val="24"/>
          <w:lang w:eastAsia="ko-KR"/>
        </w:rPr>
        <w:t>2.4</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66B80">
        <w:rPr>
          <w:rFonts w:ascii="Arial" w:hAnsi="Arial" w:cs="Arial"/>
          <w:b/>
          <w:bCs/>
          <w:sz w:val="24"/>
        </w:rPr>
        <w:t>Issues on support of NSA for IAB</w:t>
      </w:r>
      <w:bookmarkStart w:id="0" w:name="_GoBack"/>
      <w:bookmarkEnd w:id="0"/>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9E3267" w:rsidP="00571757">
      <w:pPr>
        <w:jc w:val="both"/>
        <w:rPr>
          <w:rFonts w:eastAsia="맑은 고딕"/>
          <w:lang w:eastAsia="ko-KR"/>
        </w:rPr>
      </w:pPr>
      <w:r>
        <w:t xml:space="preserve">In </w:t>
      </w:r>
      <w:r w:rsidR="00754A44">
        <w:t xml:space="preserve">the past </w:t>
      </w:r>
      <w:r>
        <w:t>meeting</w:t>
      </w:r>
      <w:r w:rsidR="00754A44">
        <w:t>s</w:t>
      </w:r>
      <w:r>
        <w:t>,</w:t>
      </w:r>
      <w:r w:rsidR="00666B80">
        <w:t xml:space="preserve"> some initial agreements on IAB were achieved</w:t>
      </w:r>
      <w:r w:rsidR="00F54BE3">
        <w:t>.</w:t>
      </w:r>
      <w:r w:rsidR="002D0766">
        <w:t xml:space="preserve"> </w:t>
      </w:r>
      <w:r w:rsidR="003E7B62">
        <w:t xml:space="preserve">This paper is to investigate </w:t>
      </w:r>
      <w:r w:rsidR="00666B80">
        <w:t xml:space="preserve">the </w:t>
      </w:r>
      <w:r w:rsidR="00CE35A9">
        <w:t xml:space="preserve">potential </w:t>
      </w:r>
      <w:r w:rsidR="00666B80">
        <w:t xml:space="preserve">issues on support of NSA for IAB.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0460F6" w:rsidRPr="000460F6" w:rsidRDefault="000460F6" w:rsidP="00762C49">
      <w:pPr>
        <w:jc w:val="both"/>
        <w:rPr>
          <w:rFonts w:eastAsia="맑은 고딕"/>
          <w:lang w:eastAsia="ko-KR"/>
        </w:rPr>
      </w:pPr>
    </w:p>
    <w:p w:rsidR="003F5C79" w:rsidRDefault="003F5C79" w:rsidP="00762C49">
      <w:pPr>
        <w:jc w:val="both"/>
        <w:rPr>
          <w:rFonts w:eastAsia="맑은 고딕"/>
          <w:lang w:eastAsia="ko-KR"/>
        </w:rPr>
      </w:pPr>
      <w:r>
        <w:rPr>
          <w:rFonts w:eastAsia="맑은 고딕"/>
          <w:lang w:eastAsia="ko-KR"/>
        </w:rPr>
        <w:t xml:space="preserve">In TR 38.874, it has been studied that </w:t>
      </w:r>
      <w:r>
        <w:t>NSA-based IAB-node integration has the following phases</w:t>
      </w:r>
      <w:r>
        <w:rPr>
          <w:rFonts w:eastAsia="맑은 고딕" w:hint="eastAsia"/>
          <w:lang w:eastAsia="ko-KR"/>
        </w:rPr>
        <w:t xml:space="preserve">: </w:t>
      </w:r>
    </w:p>
    <w:p w:rsidR="003F5C79" w:rsidRPr="003F5C79" w:rsidRDefault="003F5C79" w:rsidP="003F5C79">
      <w:pPr>
        <w:ind w:leftChars="200" w:left="400"/>
        <w:rPr>
          <w:i/>
          <w:szCs w:val="22"/>
        </w:rPr>
      </w:pPr>
      <w:r w:rsidRPr="003F5C79">
        <w:rPr>
          <w:b/>
          <w:i/>
          <w:szCs w:val="22"/>
        </w:rPr>
        <w:t>Phase 1: IAB-node MT part setup.</w:t>
      </w:r>
      <w:r w:rsidRPr="003F5C79">
        <w:rPr>
          <w:i/>
          <w:szCs w:val="22"/>
        </w:rPr>
        <w:t xml:space="preserve"> In this phase, IAB-node MT part performs the connection setup procedure and authentication via LTE RRC signaling to the LTE network. The eNB then configures the IAB-node MT part with an NR measurement configuration in order to perform discovery, measurement, and measurement reporting of candidate parent IAB-nodes to the eNB. The IAB-node MT part then connects to the parent IAB-node’s DU and CU via the EN-DC SN addition procedure.</w:t>
      </w:r>
    </w:p>
    <w:p w:rsidR="003F5C79" w:rsidRPr="003F5C79" w:rsidRDefault="003F5C79" w:rsidP="003F5C79">
      <w:pPr>
        <w:ind w:leftChars="200" w:left="400"/>
        <w:rPr>
          <w:i/>
          <w:szCs w:val="22"/>
        </w:rPr>
      </w:pPr>
      <w:r w:rsidRPr="003F5C79">
        <w:rPr>
          <w:b/>
          <w:i/>
          <w:szCs w:val="22"/>
        </w:rPr>
        <w:t xml:space="preserve">Phase 2-1: Routing update. </w:t>
      </w:r>
      <w:r w:rsidRPr="003F5C79">
        <w:rPr>
          <w:i/>
          <w:szCs w:val="22"/>
        </w:rPr>
        <w:t>In this phase, routing information is updated on the IAB-node’s parent and its ancestor nodes to establish an NR backhaul path between IAB-node and IAB-donor.</w:t>
      </w:r>
    </w:p>
    <w:p w:rsidR="003F5C79" w:rsidRPr="003F5C79" w:rsidRDefault="003F5C79" w:rsidP="003F5C79">
      <w:pPr>
        <w:ind w:leftChars="200" w:left="400"/>
        <w:rPr>
          <w:i/>
        </w:rPr>
      </w:pPr>
      <w:r w:rsidRPr="003F5C79">
        <w:rPr>
          <w:b/>
          <w:i/>
          <w:szCs w:val="22"/>
        </w:rPr>
        <w:t>Phase 2-2: IAB-node DU part setup.</w:t>
      </w:r>
      <w:r w:rsidRPr="003F5C79">
        <w:rPr>
          <w:i/>
          <w:szCs w:val="22"/>
        </w:rPr>
        <w:t xml:space="preserve"> </w:t>
      </w:r>
      <w:r w:rsidRPr="003F5C79">
        <w:rPr>
          <w:i/>
        </w:rPr>
        <w:t>The IAB-node’s DU performs F1-AP setup procedure</w:t>
      </w:r>
      <w:r w:rsidRPr="003F5C79">
        <w:rPr>
          <w:i/>
          <w:szCs w:val="22"/>
        </w:rPr>
        <w:t>. It can use the same transport over the NR backhaul as in SA mode. Alternatively, it may leverage SRBs over LTE and the X2 connection between eNB and CU for the transport of F1-AP as outlined in section 8.3.4. Both alternatives can be further studied, considering robustness and overhead of transmissions on the LTE or NR carrier(s)</w:t>
      </w:r>
      <w:r w:rsidRPr="003F5C79">
        <w:rPr>
          <w:i/>
        </w:rPr>
        <w:t>.</w:t>
      </w:r>
    </w:p>
    <w:p w:rsidR="003F5C79" w:rsidRPr="003F5C79" w:rsidRDefault="003F5C79" w:rsidP="003F5C79">
      <w:pPr>
        <w:spacing w:after="0"/>
        <w:ind w:leftChars="200" w:left="400"/>
        <w:rPr>
          <w:i/>
          <w:sz w:val="24"/>
          <w:szCs w:val="24"/>
        </w:rPr>
      </w:pPr>
      <w:r w:rsidRPr="003F5C79">
        <w:rPr>
          <w:b/>
          <w:i/>
          <w:szCs w:val="22"/>
        </w:rPr>
        <w:t>Phase 3:</w:t>
      </w:r>
      <w:r w:rsidRPr="003F5C79">
        <w:rPr>
          <w:i/>
          <w:szCs w:val="22"/>
        </w:rPr>
        <w:t xml:space="preserve"> The IAB-node DU provides service to UEs or to other integrated IAB-nodes via NR and the IAB-node MT maintains connectivity with the LTE eNB and parent IAB-node.</w:t>
      </w:r>
    </w:p>
    <w:p w:rsidR="003F5C79" w:rsidRDefault="003F5C79" w:rsidP="00762C49">
      <w:pPr>
        <w:jc w:val="both"/>
        <w:rPr>
          <w:rFonts w:eastAsia="맑은 고딕"/>
          <w:lang w:eastAsia="ko-KR"/>
        </w:rPr>
      </w:pPr>
    </w:p>
    <w:p w:rsidR="003F5C79" w:rsidRDefault="003F5C79" w:rsidP="00762C49">
      <w:pPr>
        <w:jc w:val="both"/>
        <w:rPr>
          <w:rFonts w:eastAsia="맑은 고딕"/>
          <w:lang w:eastAsia="ko-KR"/>
        </w:rPr>
      </w:pPr>
      <w:r>
        <w:rPr>
          <w:rFonts w:eastAsia="맑은 고딕"/>
          <w:lang w:eastAsia="ko-KR"/>
        </w:rPr>
        <w:t xml:space="preserve">There are several issues to be </w:t>
      </w:r>
      <w:r w:rsidR="00395796">
        <w:rPr>
          <w:rFonts w:eastAsia="맑은 고딕"/>
          <w:lang w:eastAsia="ko-KR"/>
        </w:rPr>
        <w:t xml:space="preserve">further </w:t>
      </w:r>
      <w:r>
        <w:rPr>
          <w:rFonts w:eastAsia="맑은 고딕"/>
          <w:lang w:eastAsia="ko-KR"/>
        </w:rPr>
        <w:t xml:space="preserve">investigated, which are given as follows: </w:t>
      </w:r>
    </w:p>
    <w:p w:rsidR="00887756" w:rsidRPr="009B46BA" w:rsidRDefault="00887756" w:rsidP="009B46BA">
      <w:pPr>
        <w:pStyle w:val="af5"/>
        <w:numPr>
          <w:ilvl w:val="0"/>
          <w:numId w:val="14"/>
        </w:numPr>
        <w:spacing w:line="360" w:lineRule="auto"/>
        <w:jc w:val="both"/>
        <w:rPr>
          <w:rFonts w:eastAsia="맑은 고딕"/>
          <w:b/>
          <w:lang w:eastAsia="ko-KR"/>
        </w:rPr>
      </w:pPr>
      <w:r w:rsidRPr="009B46BA">
        <w:rPr>
          <w:rFonts w:eastAsia="맑은 고딕" w:hint="eastAsia"/>
          <w:b/>
          <w:lang w:eastAsia="ko-KR"/>
        </w:rPr>
        <w:t>O</w:t>
      </w:r>
      <w:r w:rsidRPr="009B46BA">
        <w:rPr>
          <w:rFonts w:eastAsia="맑은 고딕"/>
          <w:b/>
          <w:lang w:eastAsia="ko-KR"/>
        </w:rPr>
        <w:t>n whether the en-gNB (as IAB Donor CU) support IAB function or not</w:t>
      </w:r>
      <w:r w:rsidR="00D67B3D">
        <w:rPr>
          <w:rFonts w:eastAsia="맑은 고딕"/>
          <w:b/>
          <w:lang w:eastAsia="ko-KR"/>
        </w:rPr>
        <w:t>;</w:t>
      </w:r>
    </w:p>
    <w:p w:rsidR="00F33746" w:rsidRPr="009B46BA" w:rsidRDefault="00395796" w:rsidP="009B46BA">
      <w:pPr>
        <w:pStyle w:val="af5"/>
        <w:numPr>
          <w:ilvl w:val="0"/>
          <w:numId w:val="14"/>
        </w:numPr>
        <w:spacing w:line="360" w:lineRule="auto"/>
        <w:jc w:val="both"/>
        <w:rPr>
          <w:rFonts w:eastAsia="맑은 고딕"/>
          <w:b/>
          <w:lang w:eastAsia="ko-KR"/>
        </w:rPr>
      </w:pPr>
      <w:r w:rsidRPr="009B46BA">
        <w:rPr>
          <w:rFonts w:eastAsia="맑은 고딕" w:hint="eastAsia"/>
          <w:b/>
          <w:lang w:eastAsia="ko-KR"/>
        </w:rPr>
        <w:t>H</w:t>
      </w:r>
      <w:r w:rsidR="002147B2" w:rsidRPr="009B46BA">
        <w:rPr>
          <w:rFonts w:eastAsia="맑은 고딕"/>
          <w:b/>
          <w:lang w:eastAsia="ko-KR"/>
        </w:rPr>
        <w:t>ow to perform</w:t>
      </w:r>
      <w:r w:rsidRPr="009B46BA">
        <w:rPr>
          <w:rFonts w:eastAsia="맑은 고딕"/>
          <w:b/>
          <w:lang w:eastAsia="ko-KR"/>
        </w:rPr>
        <w:t xml:space="preserve"> F1-AP signalling</w:t>
      </w:r>
      <w:r w:rsidR="002147B2" w:rsidRPr="009B46BA">
        <w:rPr>
          <w:rFonts w:eastAsia="맑은 고딕"/>
          <w:b/>
          <w:lang w:eastAsia="ko-KR"/>
        </w:rPr>
        <w:t xml:space="preserve"> between IAB donor CU and IAB node DU, and also RRC signalling between IAB </w:t>
      </w:r>
      <w:r w:rsidR="00986956" w:rsidRPr="009B46BA">
        <w:rPr>
          <w:rFonts w:eastAsia="맑은 고딕"/>
          <w:b/>
          <w:lang w:eastAsia="ko-KR"/>
        </w:rPr>
        <w:t>donor and IAB node MT</w:t>
      </w:r>
      <w:r w:rsidR="00D67B3D">
        <w:rPr>
          <w:rFonts w:eastAsia="맑은 고딕"/>
          <w:b/>
          <w:lang w:eastAsia="ko-KR"/>
        </w:rPr>
        <w:t>;</w:t>
      </w:r>
    </w:p>
    <w:p w:rsidR="003A087A" w:rsidRPr="009B46BA" w:rsidRDefault="00395796" w:rsidP="009B46BA">
      <w:pPr>
        <w:pStyle w:val="af5"/>
        <w:numPr>
          <w:ilvl w:val="0"/>
          <w:numId w:val="14"/>
        </w:numPr>
        <w:spacing w:line="360" w:lineRule="auto"/>
        <w:jc w:val="both"/>
        <w:rPr>
          <w:rFonts w:eastAsia="맑은 고딕"/>
          <w:b/>
          <w:lang w:eastAsia="ko-KR"/>
        </w:rPr>
      </w:pPr>
      <w:r w:rsidRPr="009B46BA">
        <w:rPr>
          <w:rFonts w:eastAsia="맑은 고딕"/>
          <w:b/>
          <w:lang w:eastAsia="ko-KR"/>
        </w:rPr>
        <w:t>How to support data packets delivery between IAB donor and IAB node</w:t>
      </w:r>
      <w:r w:rsidR="00D67B3D">
        <w:rPr>
          <w:rFonts w:eastAsia="맑은 고딕"/>
          <w:b/>
          <w:lang w:eastAsia="ko-KR"/>
        </w:rPr>
        <w:t>.</w:t>
      </w:r>
    </w:p>
    <w:p w:rsidR="00395796" w:rsidRPr="00887756" w:rsidRDefault="00395796" w:rsidP="007535F4">
      <w:pPr>
        <w:jc w:val="both"/>
        <w:rPr>
          <w:rFonts w:eastAsia="맑은 고딕"/>
          <w:lang w:eastAsia="ko-KR"/>
        </w:rPr>
      </w:pPr>
    </w:p>
    <w:p w:rsidR="007D0DC1" w:rsidRDefault="003A087A" w:rsidP="00E51925">
      <w:pPr>
        <w:jc w:val="both"/>
        <w:rPr>
          <w:rFonts w:eastAsia="맑은 고딕"/>
          <w:lang w:eastAsia="ko-KR"/>
        </w:rPr>
      </w:pPr>
      <w:r>
        <w:rPr>
          <w:rFonts w:eastAsia="맑은 고딕" w:hint="eastAsia"/>
          <w:lang w:eastAsia="ko-KR"/>
        </w:rPr>
        <w:t>O</w:t>
      </w:r>
      <w:r w:rsidR="00F33746">
        <w:rPr>
          <w:rFonts w:eastAsia="맑은 고딕" w:hint="eastAsia"/>
          <w:lang w:eastAsia="ko-KR"/>
        </w:rPr>
        <w:t>n the first</w:t>
      </w:r>
      <w:r>
        <w:rPr>
          <w:rFonts w:eastAsia="맑은 고딕" w:hint="eastAsia"/>
          <w:lang w:eastAsia="ko-KR"/>
        </w:rPr>
        <w:t xml:space="preserve"> issue, </w:t>
      </w:r>
      <w:r w:rsidR="003A504B">
        <w:rPr>
          <w:rFonts w:eastAsia="맑은 고딕"/>
          <w:lang w:eastAsia="ko-KR"/>
        </w:rPr>
        <w:t xml:space="preserve">there may </w:t>
      </w:r>
      <w:r w:rsidR="006E1911">
        <w:rPr>
          <w:rFonts w:eastAsia="맑은 고딕"/>
          <w:lang w:eastAsia="ko-KR"/>
        </w:rPr>
        <w:t xml:space="preserve">have </w:t>
      </w:r>
      <w:r w:rsidR="003A504B">
        <w:rPr>
          <w:rFonts w:eastAsia="맑은 고딕"/>
          <w:lang w:eastAsia="ko-KR"/>
        </w:rPr>
        <w:t>two solutions. The first solution is OAM configuration based scheme, that is, OAM configures</w:t>
      </w:r>
      <w:r w:rsidR="007D0DC1">
        <w:rPr>
          <w:rFonts w:eastAsia="맑은 고딕"/>
          <w:lang w:eastAsia="ko-KR"/>
        </w:rPr>
        <w:t xml:space="preserve"> to MeNB on whether </w:t>
      </w:r>
      <w:r w:rsidR="003A504B">
        <w:rPr>
          <w:rFonts w:eastAsia="맑은 고딕"/>
          <w:lang w:eastAsia="ko-KR"/>
        </w:rPr>
        <w:t xml:space="preserve">the </w:t>
      </w:r>
      <w:r w:rsidR="007D0DC1">
        <w:rPr>
          <w:rFonts w:eastAsia="맑은 고딕"/>
          <w:lang w:eastAsia="ko-KR"/>
        </w:rPr>
        <w:t xml:space="preserve">en-gNB supports IAB function or not. Thus MeNB can select the en-gNB which supports IAB functions as the second node during the </w:t>
      </w:r>
      <w:r w:rsidR="007D0DC1" w:rsidRPr="007D0DC1">
        <w:rPr>
          <w:rFonts w:eastAsia="맑은 고딕"/>
          <w:lang w:eastAsia="ko-KR"/>
        </w:rPr>
        <w:t>Phase 1</w:t>
      </w:r>
      <w:r w:rsidR="007D0DC1">
        <w:rPr>
          <w:rFonts w:eastAsia="맑은 고딕"/>
          <w:lang w:eastAsia="ko-KR"/>
        </w:rPr>
        <w:t xml:space="preserve"> listed above, i.e., </w:t>
      </w:r>
      <w:r w:rsidR="007D0DC1" w:rsidRPr="007D0DC1">
        <w:rPr>
          <w:rFonts w:eastAsia="맑은 고딕"/>
          <w:lang w:eastAsia="ko-KR"/>
        </w:rPr>
        <w:t>IAB-node MT part setup</w:t>
      </w:r>
      <w:r w:rsidR="007D0DC1">
        <w:rPr>
          <w:rFonts w:eastAsia="맑은 고딕"/>
          <w:lang w:eastAsia="ko-KR"/>
        </w:rPr>
        <w:t xml:space="preserve">. However, this solution requires the communication between the OAMs of two different RATs since LTE and NR may not use the same OAM. The other solution is singling based solution. The en-gNB </w:t>
      </w:r>
      <w:r w:rsidR="00DA5C31">
        <w:rPr>
          <w:rFonts w:eastAsia="맑은 고딕"/>
          <w:lang w:eastAsia="ko-KR"/>
        </w:rPr>
        <w:t xml:space="preserve">notifies the MeNB that it supports the function of IAB and also it may indicate the MeNB the exact cells that support this function. </w:t>
      </w:r>
    </w:p>
    <w:p w:rsidR="00DA5C31" w:rsidRPr="00DA5C31" w:rsidRDefault="00DA5C31" w:rsidP="00DA5C31">
      <w:pPr>
        <w:jc w:val="both"/>
        <w:rPr>
          <w:rFonts w:eastAsia="맑은 고딕"/>
          <w:b/>
          <w:lang w:eastAsia="ko-KR"/>
        </w:rPr>
      </w:pPr>
      <w:r>
        <w:rPr>
          <w:rFonts w:eastAsia="맑은 고딕"/>
          <w:b/>
          <w:lang w:eastAsia="ko-KR"/>
        </w:rPr>
        <w:t xml:space="preserve">Proposal 1): </w:t>
      </w:r>
      <w:r w:rsidR="00077FF0">
        <w:rPr>
          <w:rFonts w:eastAsia="맑은 고딕"/>
          <w:b/>
          <w:lang w:eastAsia="ko-KR"/>
        </w:rPr>
        <w:t xml:space="preserve">For MeNB </w:t>
      </w:r>
      <w:r w:rsidR="00672446">
        <w:rPr>
          <w:rFonts w:eastAsia="맑은 고딕"/>
          <w:b/>
          <w:lang w:eastAsia="ko-KR"/>
        </w:rPr>
        <w:t xml:space="preserve">to </w:t>
      </w:r>
      <w:r w:rsidR="00077FF0">
        <w:rPr>
          <w:rFonts w:eastAsia="맑은 고딕"/>
          <w:b/>
          <w:lang w:eastAsia="ko-KR"/>
        </w:rPr>
        <w:t xml:space="preserve">select the proper en-gNB as IAB donor CU, signaling based solution, i.e., en-gNB notifying its capability to MeNB, is preferred.  </w:t>
      </w:r>
    </w:p>
    <w:p w:rsidR="002147B2" w:rsidRDefault="002147B2" w:rsidP="00E51925">
      <w:pPr>
        <w:jc w:val="both"/>
        <w:rPr>
          <w:rFonts w:eastAsia="맑은 고딕"/>
          <w:lang w:val="en-GB" w:eastAsia="ko-KR"/>
        </w:rPr>
      </w:pPr>
    </w:p>
    <w:p w:rsidR="00DA5C31" w:rsidRDefault="00077FF0" w:rsidP="00E51925">
      <w:pPr>
        <w:jc w:val="both"/>
        <w:rPr>
          <w:rFonts w:eastAsia="맑은 고딕"/>
          <w:lang w:val="en-GB" w:eastAsia="ko-KR"/>
        </w:rPr>
      </w:pPr>
      <w:r>
        <w:rPr>
          <w:rFonts w:eastAsia="맑은 고딕" w:hint="eastAsia"/>
          <w:lang w:val="en-GB" w:eastAsia="ko-KR"/>
        </w:rPr>
        <w:t>O</w:t>
      </w:r>
      <w:r w:rsidR="002147B2">
        <w:rPr>
          <w:rFonts w:eastAsia="맑은 고딕"/>
          <w:lang w:val="en-GB" w:eastAsia="ko-KR"/>
        </w:rPr>
        <w:t>n the second issue, as described above</w:t>
      </w:r>
      <w:r w:rsidR="00986956">
        <w:rPr>
          <w:rFonts w:eastAsia="맑은 고딕"/>
          <w:lang w:val="en-GB" w:eastAsia="ko-KR"/>
        </w:rPr>
        <w:t xml:space="preserve"> in</w:t>
      </w:r>
      <w:r w:rsidR="00986956">
        <w:rPr>
          <w:lang w:val="en-GB"/>
        </w:rPr>
        <w:t xml:space="preserve"> </w:t>
      </w:r>
      <w:r w:rsidR="00986956" w:rsidRPr="00986956">
        <w:rPr>
          <w:lang w:val="en-GB"/>
        </w:rPr>
        <w:t>Phase 2-2</w:t>
      </w:r>
      <w:r w:rsidR="00986956">
        <w:rPr>
          <w:lang w:val="en-GB"/>
        </w:rPr>
        <w:t xml:space="preserve"> (</w:t>
      </w:r>
      <w:r w:rsidR="00986956" w:rsidRPr="00986956">
        <w:rPr>
          <w:lang w:val="en-GB"/>
        </w:rPr>
        <w:t>IAB-node DU part setup</w:t>
      </w:r>
      <w:r w:rsidR="00986956">
        <w:rPr>
          <w:lang w:val="en-GB"/>
        </w:rPr>
        <w:t>)</w:t>
      </w:r>
      <w:r w:rsidR="002147B2">
        <w:rPr>
          <w:rFonts w:eastAsia="맑은 고딕"/>
          <w:lang w:val="en-GB" w:eastAsia="ko-KR"/>
        </w:rPr>
        <w:t xml:space="preserve">, </w:t>
      </w:r>
      <w:r w:rsidR="00986956">
        <w:rPr>
          <w:rFonts w:eastAsia="맑은 고딕"/>
          <w:lang w:val="en-GB" w:eastAsia="ko-KR"/>
        </w:rPr>
        <w:t xml:space="preserve">there are two solutions from high level point of view. </w:t>
      </w:r>
    </w:p>
    <w:p w:rsidR="00986956" w:rsidRDefault="00986956" w:rsidP="00986956">
      <w:pPr>
        <w:pStyle w:val="af5"/>
        <w:numPr>
          <w:ilvl w:val="0"/>
          <w:numId w:val="13"/>
        </w:numPr>
        <w:jc w:val="both"/>
        <w:rPr>
          <w:rFonts w:eastAsia="맑은 고딕"/>
          <w:lang w:eastAsia="ko-KR"/>
        </w:rPr>
      </w:pPr>
      <w:r w:rsidRPr="00986956">
        <w:rPr>
          <w:rFonts w:eastAsia="맑은 고딕"/>
          <w:lang w:eastAsia="ko-KR"/>
        </w:rPr>
        <w:t xml:space="preserve">It can use the same transport over the NR backhaul as in SA mode. </w:t>
      </w:r>
    </w:p>
    <w:p w:rsidR="00986956" w:rsidRPr="00986956" w:rsidRDefault="00986956" w:rsidP="00986956">
      <w:pPr>
        <w:pStyle w:val="af5"/>
        <w:numPr>
          <w:ilvl w:val="0"/>
          <w:numId w:val="13"/>
        </w:numPr>
        <w:jc w:val="both"/>
        <w:rPr>
          <w:rFonts w:eastAsia="맑은 고딕"/>
          <w:lang w:eastAsia="ko-KR"/>
        </w:rPr>
      </w:pPr>
      <w:r w:rsidRPr="00986956">
        <w:rPr>
          <w:rFonts w:eastAsia="맑은 고딕"/>
          <w:lang w:eastAsia="ko-KR"/>
        </w:rPr>
        <w:t>Alternatively, it may leverage SRBs over LTE and the X2 connection between eNB and CU for the transport of F1-AP</w:t>
      </w:r>
    </w:p>
    <w:p w:rsidR="00986956" w:rsidRDefault="00986956" w:rsidP="00E51925">
      <w:pPr>
        <w:jc w:val="both"/>
        <w:rPr>
          <w:rFonts w:eastAsia="맑은 고딕"/>
          <w:lang w:eastAsia="ko-KR"/>
        </w:rPr>
      </w:pPr>
      <w:r>
        <w:rPr>
          <w:rFonts w:eastAsia="맑은 고딕"/>
          <w:lang w:eastAsia="ko-KR"/>
        </w:rPr>
        <w:t xml:space="preserve">For solution a, </w:t>
      </w:r>
      <w:r w:rsidR="009B46BA">
        <w:rPr>
          <w:rFonts w:eastAsia="맑은 고딕"/>
          <w:lang w:eastAsia="ko-KR"/>
        </w:rPr>
        <w:t xml:space="preserve">it </w:t>
      </w:r>
      <w:r w:rsidR="00477F9F">
        <w:rPr>
          <w:rFonts w:eastAsia="맑은 고딕"/>
          <w:lang w:eastAsia="ko-KR"/>
        </w:rPr>
        <w:t>has to rely on SRB3 of the</w:t>
      </w:r>
      <w:r w:rsidR="009B46BA">
        <w:rPr>
          <w:rFonts w:eastAsia="맑은 고딕"/>
          <w:lang w:eastAsia="ko-KR"/>
        </w:rPr>
        <w:t xml:space="preserve"> SN (IAB Donor</w:t>
      </w:r>
      <w:r w:rsidR="00477F9F">
        <w:rPr>
          <w:rFonts w:eastAsia="맑은 고딕"/>
          <w:lang w:eastAsia="ko-KR"/>
        </w:rPr>
        <w:t xml:space="preserve"> CU</w:t>
      </w:r>
      <w:r w:rsidR="009B46BA">
        <w:rPr>
          <w:rFonts w:eastAsia="맑은 고딕"/>
          <w:lang w:eastAsia="ko-KR"/>
        </w:rPr>
        <w:t>)</w:t>
      </w:r>
      <w:r w:rsidR="00B30C51">
        <w:rPr>
          <w:rFonts w:eastAsia="맑은 고딕"/>
          <w:lang w:eastAsia="ko-KR"/>
        </w:rPr>
        <w:t xml:space="preserve"> to </w:t>
      </w:r>
      <w:r w:rsidR="00B30C51" w:rsidRPr="00B30C51">
        <w:rPr>
          <w:rFonts w:eastAsia="맑은 고딕"/>
          <w:lang w:eastAsia="ko-KR"/>
        </w:rPr>
        <w:t>perform F1-AP signalling between IAB donor CU and IAB node DU, and also RRC signalling between IAB donor and IAB node MT</w:t>
      </w:r>
      <w:r w:rsidR="00B30C51">
        <w:rPr>
          <w:rFonts w:eastAsia="맑은 고딕"/>
          <w:lang w:eastAsia="ko-KR"/>
        </w:rPr>
        <w:t>. This may go beyond th</w:t>
      </w:r>
      <w:r w:rsidR="00D07E21">
        <w:rPr>
          <w:rFonts w:eastAsia="맑은 고딕"/>
          <w:lang w:eastAsia="ko-KR"/>
        </w:rPr>
        <w:t xml:space="preserve">e original design goal of SRB3 since it is an optional feature from both SN and UE point of view. </w:t>
      </w:r>
    </w:p>
    <w:p w:rsidR="00B30C51" w:rsidRDefault="00B30C51" w:rsidP="00E51925">
      <w:pPr>
        <w:jc w:val="both"/>
        <w:rPr>
          <w:rFonts w:eastAsia="맑은 고딕"/>
          <w:lang w:eastAsia="ko-KR"/>
        </w:rPr>
      </w:pPr>
      <w:r>
        <w:rPr>
          <w:rFonts w:eastAsia="맑은 고딕"/>
          <w:lang w:eastAsia="ko-KR"/>
        </w:rPr>
        <w:t xml:space="preserve">For solution b, it is aligned with the normal EN-DC feature. </w:t>
      </w:r>
      <w:r w:rsidR="00156E0F">
        <w:rPr>
          <w:rFonts w:eastAsia="맑은 고딕"/>
          <w:lang w:eastAsia="ko-KR"/>
        </w:rPr>
        <w:t>The basic</w:t>
      </w:r>
      <w:r>
        <w:rPr>
          <w:rFonts w:eastAsia="맑은 고딕"/>
          <w:lang w:eastAsia="ko-KR"/>
        </w:rPr>
        <w:t xml:space="preserve"> control plane related signaling</w:t>
      </w:r>
      <w:r w:rsidR="00156E0F">
        <w:rPr>
          <w:rFonts w:eastAsia="맑은 고딕"/>
          <w:lang w:eastAsia="ko-KR"/>
        </w:rPr>
        <w:t xml:space="preserve"> is</w:t>
      </w:r>
      <w:r>
        <w:rPr>
          <w:rFonts w:eastAsia="맑은 고딕"/>
          <w:lang w:eastAsia="ko-KR"/>
        </w:rPr>
        <w:t xml:space="preserve"> passed by the MeNB. The</w:t>
      </w:r>
      <w:r w:rsidR="007D5075">
        <w:rPr>
          <w:rFonts w:eastAsia="맑은 고딕"/>
          <w:lang w:eastAsia="ko-KR"/>
        </w:rPr>
        <w:t xml:space="preserve"> enhancement is needed for RRC message transfer in X2 and also F1AP message transfer in X2. The corresponding RAN2 enhancement is also needed.</w:t>
      </w:r>
    </w:p>
    <w:p w:rsidR="00D07E21" w:rsidRPr="00D07E21" w:rsidRDefault="007D5075" w:rsidP="00D07E21">
      <w:pPr>
        <w:jc w:val="both"/>
        <w:rPr>
          <w:rFonts w:eastAsia="맑은 고딕"/>
          <w:b/>
          <w:lang w:eastAsia="ko-KR"/>
        </w:rPr>
      </w:pPr>
      <w:r>
        <w:rPr>
          <w:rFonts w:eastAsia="맑은 고딕"/>
          <w:b/>
          <w:lang w:eastAsia="ko-KR"/>
        </w:rPr>
        <w:t>Proposal 2): For</w:t>
      </w:r>
      <w:r w:rsidRPr="009B46BA">
        <w:rPr>
          <w:rFonts w:eastAsia="맑은 고딕"/>
          <w:b/>
          <w:lang w:eastAsia="ko-KR"/>
        </w:rPr>
        <w:t xml:space="preserve"> F1-AP </w:t>
      </w:r>
      <w:r>
        <w:rPr>
          <w:rFonts w:eastAsia="맑은 고딕"/>
          <w:b/>
          <w:lang w:eastAsia="ko-KR"/>
        </w:rPr>
        <w:t>signaling/RRC signalling</w:t>
      </w:r>
      <w:r w:rsidRPr="009B46BA">
        <w:rPr>
          <w:rFonts w:eastAsia="맑은 고딕"/>
          <w:b/>
          <w:lang w:eastAsia="ko-KR"/>
        </w:rPr>
        <w:t xml:space="preserve"> between IAB donor CU and IAB node</w:t>
      </w:r>
      <w:r>
        <w:rPr>
          <w:rFonts w:eastAsia="맑은 고딕"/>
          <w:b/>
          <w:lang w:eastAsia="ko-KR"/>
        </w:rPr>
        <w:t xml:space="preserve"> for NSA, the solution passing by MeNB is p</w:t>
      </w:r>
      <w:r w:rsidR="00D07E21">
        <w:rPr>
          <w:rFonts w:eastAsia="맑은 고딕"/>
          <w:b/>
          <w:lang w:eastAsia="ko-KR"/>
        </w:rPr>
        <w:t xml:space="preserve">referred. Enhancement is needed from both RAN3 and RAN2 point of view. </w:t>
      </w:r>
      <w:r>
        <w:rPr>
          <w:rFonts w:eastAsia="맑은 고딕"/>
          <w:b/>
          <w:lang w:eastAsia="ko-KR"/>
        </w:rPr>
        <w:t xml:space="preserve"> </w:t>
      </w:r>
    </w:p>
    <w:p w:rsidR="003A504B" w:rsidRDefault="00F33746" w:rsidP="00E51925">
      <w:pPr>
        <w:jc w:val="both"/>
        <w:rPr>
          <w:rFonts w:eastAsia="맑은 고딕"/>
          <w:lang w:eastAsia="ko-KR"/>
        </w:rPr>
      </w:pPr>
      <w:r>
        <w:rPr>
          <w:rFonts w:eastAsia="맑은 고딕" w:hint="eastAsia"/>
          <w:lang w:eastAsia="ko-KR"/>
        </w:rPr>
        <w:t xml:space="preserve">On the </w:t>
      </w:r>
      <w:r w:rsidR="007D5075">
        <w:rPr>
          <w:rFonts w:eastAsia="맑은 고딕"/>
          <w:lang w:eastAsia="ko-KR"/>
        </w:rPr>
        <w:t>third i</w:t>
      </w:r>
      <w:r>
        <w:rPr>
          <w:rFonts w:eastAsia="맑은 고딕" w:hint="eastAsia"/>
          <w:lang w:eastAsia="ko-KR"/>
        </w:rPr>
        <w:t>ssue,</w:t>
      </w:r>
      <w:r w:rsidR="00156E0F">
        <w:rPr>
          <w:rFonts w:eastAsia="맑은 고딕"/>
          <w:lang w:eastAsia="ko-KR"/>
        </w:rPr>
        <w:t xml:space="preserve"> </w:t>
      </w:r>
      <w:r w:rsidR="000608C2">
        <w:rPr>
          <w:rFonts w:eastAsia="맑은 고딕"/>
          <w:lang w:eastAsia="ko-KR"/>
        </w:rPr>
        <w:t xml:space="preserve">since the amount of data packets from IAB CU to IAB node can </w:t>
      </w:r>
      <w:r w:rsidR="00757161">
        <w:rPr>
          <w:rFonts w:eastAsia="맑은 고딕"/>
          <w:lang w:eastAsia="ko-KR"/>
        </w:rPr>
        <w:t xml:space="preserve">be very </w:t>
      </w:r>
      <w:r w:rsidR="000608C2">
        <w:rPr>
          <w:rFonts w:eastAsia="맑은 고딕"/>
          <w:lang w:eastAsia="ko-KR"/>
        </w:rPr>
        <w:t xml:space="preserve">large and it is designed for NR feature, passing all the packets through X2-U to MeNB and then finally going to IAB node is not a good way. The X2 may not have the ability. On the other hand, the way of SCG split bearer for EN-DC is also not easy to be applied to IAB CU and IAB node. </w:t>
      </w:r>
    </w:p>
    <w:p w:rsidR="000608C2" w:rsidRPr="00DA5C31" w:rsidRDefault="000608C2" w:rsidP="000608C2">
      <w:pPr>
        <w:jc w:val="both"/>
        <w:rPr>
          <w:rFonts w:eastAsia="맑은 고딕"/>
          <w:b/>
          <w:lang w:eastAsia="ko-KR"/>
        </w:rPr>
      </w:pPr>
      <w:r>
        <w:rPr>
          <w:rFonts w:eastAsia="맑은 고딕"/>
          <w:b/>
          <w:lang w:eastAsia="ko-KR"/>
        </w:rPr>
        <w:t xml:space="preserve">Proposal 3): </w:t>
      </w:r>
      <w:r w:rsidR="00B371DF">
        <w:rPr>
          <w:rFonts w:eastAsia="맑은 고딕"/>
          <w:b/>
          <w:lang w:eastAsia="ko-KR"/>
        </w:rPr>
        <w:t>To apply the same as SA to</w:t>
      </w:r>
      <w:r>
        <w:rPr>
          <w:rFonts w:eastAsia="맑은 고딕"/>
          <w:b/>
          <w:lang w:eastAsia="ko-KR"/>
        </w:rPr>
        <w:t xml:space="preserve"> </w:t>
      </w:r>
      <w:r w:rsidRPr="009B46BA">
        <w:rPr>
          <w:rFonts w:eastAsia="맑은 고딕"/>
          <w:b/>
          <w:lang w:eastAsia="ko-KR"/>
        </w:rPr>
        <w:t>support data packets delivery between IAB donor and IAB node</w:t>
      </w:r>
      <w:r w:rsidR="00B371DF">
        <w:rPr>
          <w:rFonts w:eastAsia="맑은 고딕"/>
          <w:b/>
          <w:lang w:eastAsia="ko-KR"/>
        </w:rPr>
        <w:t>.</w:t>
      </w:r>
    </w:p>
    <w:p w:rsidR="00156E0F" w:rsidRPr="00B371DF" w:rsidRDefault="00156E0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5A623A">
        <w:rPr>
          <w:rFonts w:eastAsia="맑은 고딕"/>
          <w:lang w:val="en-GB" w:eastAsia="ko-KR"/>
        </w:rPr>
        <w:t xml:space="preserve">potential </w:t>
      </w:r>
      <w:r w:rsidR="00B22FDD">
        <w:rPr>
          <w:rFonts w:eastAsia="맑은 고딕"/>
          <w:lang w:val="en-GB" w:eastAsia="ko-KR"/>
        </w:rPr>
        <w:t xml:space="preserve">issues </w:t>
      </w:r>
      <w:r w:rsidR="005D0F7C">
        <w:rPr>
          <w:rFonts w:eastAsia="맑은 고딕"/>
          <w:lang w:val="en-GB" w:eastAsia="ko-KR"/>
        </w:rPr>
        <w:t>on support of NSA for IAB w</w:t>
      </w:r>
      <w:r w:rsidR="00B22FDD">
        <w:rPr>
          <w:rFonts w:eastAsia="맑은 고딕"/>
          <w:lang w:val="en-GB" w:eastAsia="ko-KR"/>
        </w:rPr>
        <w:t xml:space="preserve">ere </w:t>
      </w:r>
      <w:r w:rsidR="005D0F7C">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5D0F7C" w:rsidRPr="00DA5C31" w:rsidRDefault="005D0F7C" w:rsidP="005D0F7C">
      <w:pPr>
        <w:jc w:val="both"/>
        <w:rPr>
          <w:rFonts w:eastAsia="맑은 고딕"/>
          <w:b/>
          <w:lang w:eastAsia="ko-KR"/>
        </w:rPr>
      </w:pPr>
      <w:r>
        <w:rPr>
          <w:rFonts w:eastAsia="맑은 고딕"/>
          <w:b/>
          <w:lang w:eastAsia="ko-KR"/>
        </w:rPr>
        <w:t xml:space="preserve">Proposal 1): For MeNB to select the proper en-gNB as IAB donor CU, signaling based solution, i.e., en-gNB notifying its capability to MeNB, is preferred.  </w:t>
      </w:r>
    </w:p>
    <w:p w:rsidR="005D0F7C" w:rsidRPr="00DA5C31" w:rsidRDefault="00D07E21" w:rsidP="005D0F7C">
      <w:pPr>
        <w:jc w:val="both"/>
        <w:rPr>
          <w:rFonts w:eastAsia="맑은 고딕"/>
          <w:b/>
          <w:lang w:eastAsia="ko-KR"/>
        </w:rPr>
      </w:pPr>
      <w:r>
        <w:rPr>
          <w:rFonts w:eastAsia="맑은 고딕"/>
          <w:b/>
          <w:lang w:eastAsia="ko-KR"/>
        </w:rPr>
        <w:t>Proposal 2): For</w:t>
      </w:r>
      <w:r w:rsidRPr="009B46BA">
        <w:rPr>
          <w:rFonts w:eastAsia="맑은 고딕"/>
          <w:b/>
          <w:lang w:eastAsia="ko-KR"/>
        </w:rPr>
        <w:t xml:space="preserve"> F1-AP </w:t>
      </w:r>
      <w:r>
        <w:rPr>
          <w:rFonts w:eastAsia="맑은 고딕"/>
          <w:b/>
          <w:lang w:eastAsia="ko-KR"/>
        </w:rPr>
        <w:t>signaling/RRC signalling</w:t>
      </w:r>
      <w:r w:rsidRPr="009B46BA">
        <w:rPr>
          <w:rFonts w:eastAsia="맑은 고딕"/>
          <w:b/>
          <w:lang w:eastAsia="ko-KR"/>
        </w:rPr>
        <w:t xml:space="preserve"> between IAB donor CU and IAB node</w:t>
      </w:r>
      <w:r>
        <w:rPr>
          <w:rFonts w:eastAsia="맑은 고딕"/>
          <w:b/>
          <w:lang w:eastAsia="ko-KR"/>
        </w:rPr>
        <w:t xml:space="preserve"> for NSA, the solution passing by MeNB is preferred. Enhancement is needed from both RAN3 and RAN2 point of view.</w:t>
      </w:r>
    </w:p>
    <w:p w:rsidR="005D0F7C" w:rsidRPr="00DA5C31" w:rsidRDefault="005D0F7C" w:rsidP="005D0F7C">
      <w:pPr>
        <w:jc w:val="both"/>
        <w:rPr>
          <w:rFonts w:eastAsia="맑은 고딕"/>
          <w:b/>
          <w:lang w:eastAsia="ko-KR"/>
        </w:rPr>
      </w:pPr>
      <w:r>
        <w:rPr>
          <w:rFonts w:eastAsia="맑은 고딕"/>
          <w:b/>
          <w:lang w:eastAsia="ko-KR"/>
        </w:rPr>
        <w:t xml:space="preserve">Proposal 3): To apply the same as SA to </w:t>
      </w:r>
      <w:r w:rsidRPr="009B46BA">
        <w:rPr>
          <w:rFonts w:eastAsia="맑은 고딕"/>
          <w:b/>
          <w:lang w:eastAsia="ko-KR"/>
        </w:rPr>
        <w:t>support data packets delivery between IAB donor and IAB node</w:t>
      </w:r>
      <w:r>
        <w:rPr>
          <w:rFonts w:eastAsia="맑은 고딕"/>
          <w:b/>
          <w:lang w:eastAsia="ko-KR"/>
        </w:rPr>
        <w:t>.</w:t>
      </w:r>
    </w:p>
    <w:p w:rsidR="002751D9" w:rsidRPr="005D0F7C"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8A6B69" w:rsidRDefault="008C5E21" w:rsidP="00513626">
      <w:pPr>
        <w:pStyle w:val="af5"/>
        <w:numPr>
          <w:ilvl w:val="0"/>
          <w:numId w:val="1"/>
        </w:numPr>
      </w:pPr>
      <w:r w:rsidRPr="008C5E21">
        <w:rPr>
          <w:rFonts w:eastAsia="맑은 고딕" w:hint="eastAsia"/>
          <w:iCs/>
          <w:lang w:eastAsia="ko-KR"/>
        </w:rPr>
        <w:t xml:space="preserve">3GPP TR </w:t>
      </w:r>
      <w:r w:rsidR="008A6B69">
        <w:rPr>
          <w:rFonts w:eastAsia="맑은 고딕"/>
          <w:iCs/>
          <w:lang w:eastAsia="ko-KR"/>
        </w:rPr>
        <w:t>38</w:t>
      </w:r>
      <w:r w:rsidR="004A7F09">
        <w:rPr>
          <w:rFonts w:eastAsia="맑은 고딕"/>
          <w:iCs/>
          <w:lang w:eastAsia="ko-KR"/>
        </w:rPr>
        <w:t>.</w:t>
      </w:r>
      <w:r w:rsidR="008A6B69">
        <w:rPr>
          <w:rFonts w:eastAsia="맑은 고딕"/>
          <w:iCs/>
          <w:lang w:eastAsia="ko-KR"/>
        </w:rPr>
        <w:t>874</w:t>
      </w:r>
      <w:r w:rsidR="004A7F09">
        <w:rPr>
          <w:rFonts w:eastAsia="맑은 고딕"/>
          <w:iCs/>
          <w:lang w:eastAsia="ko-KR"/>
        </w:rPr>
        <w:t xml:space="preserve"> V1</w:t>
      </w:r>
      <w:r w:rsidRPr="008C5E21">
        <w:rPr>
          <w:rFonts w:eastAsia="맑은 고딕"/>
          <w:iCs/>
          <w:lang w:eastAsia="ko-KR"/>
        </w:rPr>
        <w:t>.</w:t>
      </w:r>
      <w:r w:rsidR="008A6B69">
        <w:rPr>
          <w:rFonts w:eastAsia="맑은 고딕"/>
          <w:iCs/>
          <w:lang w:eastAsia="ko-KR"/>
        </w:rPr>
        <w:t>0</w:t>
      </w:r>
      <w:r w:rsidRPr="008C5E21">
        <w:rPr>
          <w:rFonts w:eastAsia="맑은 고딕"/>
          <w:iCs/>
          <w:lang w:eastAsia="ko-KR"/>
        </w:rPr>
        <w:t xml:space="preserve">.0: </w:t>
      </w:r>
      <w:r w:rsidR="008A6B69">
        <w:rPr>
          <w:rFonts w:cs="Arial"/>
        </w:rPr>
        <w:t>Study on Integrated Access and Backhaul</w:t>
      </w:r>
    </w:p>
    <w:sectPr w:rsidR="008A6B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343" w:rsidRDefault="003C6343">
      <w:r>
        <w:separator/>
      </w:r>
    </w:p>
  </w:endnote>
  <w:endnote w:type="continuationSeparator" w:id="0">
    <w:p w:rsidR="003C6343" w:rsidRDefault="003C6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343" w:rsidRDefault="003C6343">
      <w:r>
        <w:separator/>
      </w:r>
    </w:p>
  </w:footnote>
  <w:footnote w:type="continuationSeparator" w:id="0">
    <w:p w:rsidR="003C6343" w:rsidRDefault="003C6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2"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3" w15:restartNumberingAfterBreak="0">
    <w:nsid w:val="7C1E6AA8"/>
    <w:multiLevelType w:val="hybridMultilevel"/>
    <w:tmpl w:val="E7E607FC"/>
    <w:lvl w:ilvl="0" w:tplc="B2329DBE">
      <w:start w:val="3"/>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0"/>
  </w:num>
  <w:num w:numId="3">
    <w:abstractNumId w:val="11"/>
  </w:num>
  <w:num w:numId="4">
    <w:abstractNumId w:val="4"/>
  </w:num>
  <w:num w:numId="5">
    <w:abstractNumId w:val="5"/>
  </w:num>
  <w:num w:numId="6">
    <w:abstractNumId w:val="8"/>
  </w:num>
  <w:num w:numId="7">
    <w:abstractNumId w:val="1"/>
  </w:num>
  <w:num w:numId="8">
    <w:abstractNumId w:val="12"/>
  </w:num>
  <w:num w:numId="9">
    <w:abstractNumId w:val="3"/>
  </w:num>
  <w:num w:numId="10">
    <w:abstractNumId w:val="2"/>
  </w:num>
  <w:num w:numId="11">
    <w:abstractNumId w:val="6"/>
  </w:num>
  <w:num w:numId="12">
    <w:abstractNumId w:val="9"/>
  </w:num>
  <w:num w:numId="13">
    <w:abstractNumId w:val="10"/>
  </w:num>
  <w:num w:numId="14">
    <w:abstractNumId w:val="14"/>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60F6"/>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D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51C"/>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3FE6"/>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87A"/>
    <w:rsid w:val="00363EEA"/>
    <w:rsid w:val="00363F9B"/>
    <w:rsid w:val="003649D7"/>
    <w:rsid w:val="003651C5"/>
    <w:rsid w:val="00365B5B"/>
    <w:rsid w:val="00365B94"/>
    <w:rsid w:val="00365CBD"/>
    <w:rsid w:val="0036648C"/>
    <w:rsid w:val="00366CE7"/>
    <w:rsid w:val="00366E9F"/>
    <w:rsid w:val="003676C5"/>
    <w:rsid w:val="00367E5A"/>
    <w:rsid w:val="00370896"/>
    <w:rsid w:val="003709E3"/>
    <w:rsid w:val="00370B68"/>
    <w:rsid w:val="00371599"/>
    <w:rsid w:val="0037182A"/>
    <w:rsid w:val="0037207A"/>
    <w:rsid w:val="003720FE"/>
    <w:rsid w:val="0037243F"/>
    <w:rsid w:val="0037383D"/>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3AE"/>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343"/>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C9F"/>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09"/>
    <w:rsid w:val="004A7FFE"/>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2D4"/>
    <w:rsid w:val="0050763A"/>
    <w:rsid w:val="00507982"/>
    <w:rsid w:val="005106D6"/>
    <w:rsid w:val="005110FD"/>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A40"/>
    <w:rsid w:val="00527037"/>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A9C"/>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2196"/>
    <w:rsid w:val="006722CD"/>
    <w:rsid w:val="00672446"/>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87EBB"/>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A44"/>
    <w:rsid w:val="00754CEF"/>
    <w:rsid w:val="00754DB9"/>
    <w:rsid w:val="00755D71"/>
    <w:rsid w:val="00756627"/>
    <w:rsid w:val="0075716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6CF"/>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91F"/>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0A"/>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173"/>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21A2"/>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956"/>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9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4DF6"/>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79B"/>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77E"/>
    <w:rsid w:val="00CD7AE4"/>
    <w:rsid w:val="00CD7C23"/>
    <w:rsid w:val="00CD7EB2"/>
    <w:rsid w:val="00CE0304"/>
    <w:rsid w:val="00CE0C43"/>
    <w:rsid w:val="00CE0E6E"/>
    <w:rsid w:val="00CE1074"/>
    <w:rsid w:val="00CE1C82"/>
    <w:rsid w:val="00CE1EDF"/>
    <w:rsid w:val="00CE2459"/>
    <w:rsid w:val="00CE328F"/>
    <w:rsid w:val="00CE35A9"/>
    <w:rsid w:val="00CE3A03"/>
    <w:rsid w:val="00CE41DF"/>
    <w:rsid w:val="00CE4844"/>
    <w:rsid w:val="00CE4BC9"/>
    <w:rsid w:val="00CE5258"/>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07E21"/>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93B"/>
    <w:rsid w:val="00D22E34"/>
    <w:rsid w:val="00D2303B"/>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67B3D"/>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2B7C"/>
    <w:rsid w:val="00D93A8D"/>
    <w:rsid w:val="00D93B7C"/>
    <w:rsid w:val="00D95177"/>
    <w:rsid w:val="00D95F54"/>
    <w:rsid w:val="00D9698F"/>
    <w:rsid w:val="00D96DB3"/>
    <w:rsid w:val="00DA090A"/>
    <w:rsid w:val="00DA0C1D"/>
    <w:rsid w:val="00DA0E89"/>
    <w:rsid w:val="00DA1594"/>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5CE1"/>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892"/>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AF2"/>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character" w:customStyle="1" w:styleId="TFChar">
    <w:name w:val="TF Char"/>
    <w:link w:val="TF"/>
    <w:rsid w:val="000460F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F27B2-7A19-4801-8D51-CCD979E1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1021</TotalTime>
  <Pages>2</Pages>
  <Words>773</Words>
  <Characters>4411</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14</cp:revision>
  <cp:lastPrinted>2017-05-04T01:29:00Z</cp:lastPrinted>
  <dcterms:created xsi:type="dcterms:W3CDTF">2019-08-07T08:20:00Z</dcterms:created>
  <dcterms:modified xsi:type="dcterms:W3CDTF">2019-08-14T09:40:00Z</dcterms:modified>
</cp:coreProperties>
</file>